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F47" w:rsidRDefault="003D6F47" w:rsidP="003D6F47">
      <w:pPr>
        <w:spacing w:line="560" w:lineRule="exact"/>
        <w:rPr>
          <w:rFonts w:ascii="文星黑体" w:eastAsia="文星黑体" w:hAnsi="文星黑体" w:cs="文星黑体"/>
          <w:sz w:val="28"/>
          <w:szCs w:val="28"/>
        </w:rPr>
      </w:pPr>
      <w:r>
        <w:rPr>
          <w:rFonts w:ascii="文星黑体" w:eastAsia="文星黑体" w:hAnsi="文星黑体" w:cs="文星黑体" w:hint="eastAsia"/>
          <w:sz w:val="28"/>
          <w:szCs w:val="28"/>
        </w:rPr>
        <w:t>附件2</w:t>
      </w:r>
    </w:p>
    <w:p w:rsidR="003D6F47" w:rsidRDefault="003D6F47" w:rsidP="003D6F47">
      <w:pPr>
        <w:spacing w:line="500" w:lineRule="exact"/>
        <w:jc w:val="center"/>
        <w:rPr>
          <w:rFonts w:ascii="文星标宋" w:eastAsia="文星标宋" w:hAnsi="文星标宋" w:cs="文星标宋"/>
          <w:color w:val="000000"/>
          <w:kern w:val="0"/>
          <w:sz w:val="44"/>
          <w:szCs w:val="44"/>
        </w:rPr>
      </w:pPr>
      <w:r>
        <w:rPr>
          <w:rFonts w:ascii="文星标宋" w:eastAsia="文星标宋" w:hAnsi="文星标宋" w:cs="文星标宋" w:hint="eastAsia"/>
          <w:color w:val="000000"/>
          <w:kern w:val="0"/>
          <w:sz w:val="44"/>
          <w:szCs w:val="44"/>
        </w:rPr>
        <w:t>2025年槐荫区20项民生实事推进情况（前三季度）</w:t>
      </w:r>
    </w:p>
    <w:p w:rsidR="003D6F47" w:rsidRDefault="003D6F47" w:rsidP="003D6F47">
      <w:pPr>
        <w:spacing w:line="500" w:lineRule="exact"/>
        <w:jc w:val="center"/>
        <w:rPr>
          <w:rFonts w:ascii="文星标宋" w:eastAsia="文星标宋" w:hAnsi="文星标宋" w:cs="文星标宋"/>
          <w:color w:val="000000"/>
          <w:kern w:val="0"/>
          <w:sz w:val="44"/>
          <w:szCs w:val="44"/>
        </w:rPr>
      </w:pPr>
    </w:p>
    <w:tbl>
      <w:tblPr>
        <w:tblStyle w:val="a6"/>
        <w:tblW w:w="14877" w:type="dxa"/>
        <w:jc w:val="center"/>
        <w:tblLayout w:type="fixed"/>
        <w:tblLook w:val="04A0"/>
      </w:tblPr>
      <w:tblGrid>
        <w:gridCol w:w="905"/>
        <w:gridCol w:w="1958"/>
        <w:gridCol w:w="4130"/>
        <w:gridCol w:w="1584"/>
        <w:gridCol w:w="6300"/>
      </w:tblGrid>
      <w:tr w:rsidR="003D6F47" w:rsidTr="00CD7184">
        <w:trPr>
          <w:cantSplit/>
          <w:trHeight w:val="652"/>
          <w:jc w:val="center"/>
        </w:trPr>
        <w:tc>
          <w:tcPr>
            <w:tcW w:w="905" w:type="dxa"/>
            <w:vAlign w:val="center"/>
          </w:tcPr>
          <w:p w:rsidR="003D6F47" w:rsidRDefault="003D6F47" w:rsidP="00CD7184">
            <w:pPr>
              <w:spacing w:line="340" w:lineRule="exact"/>
              <w:jc w:val="center"/>
              <w:rPr>
                <w:rFonts w:ascii="文星仿宋" w:eastAsia="文星仿宋" w:hAnsi="文星仿宋" w:cs="文星仿宋"/>
                <w:b/>
                <w:bCs/>
                <w:sz w:val="28"/>
                <w:szCs w:val="28"/>
              </w:rPr>
            </w:pPr>
            <w:r>
              <w:rPr>
                <w:rFonts w:ascii="文星仿宋" w:eastAsia="文星仿宋" w:hAnsi="文星仿宋" w:cs="文星仿宋" w:hint="eastAsia"/>
                <w:b/>
                <w:bCs/>
                <w:sz w:val="28"/>
                <w:szCs w:val="28"/>
              </w:rPr>
              <w:t>序号</w:t>
            </w:r>
          </w:p>
        </w:tc>
        <w:tc>
          <w:tcPr>
            <w:tcW w:w="1958" w:type="dxa"/>
            <w:vAlign w:val="center"/>
          </w:tcPr>
          <w:p w:rsidR="003D6F47" w:rsidRDefault="003D6F47" w:rsidP="00CD7184">
            <w:pPr>
              <w:spacing w:line="340" w:lineRule="exact"/>
              <w:jc w:val="center"/>
              <w:rPr>
                <w:rFonts w:ascii="文星仿宋" w:eastAsia="文星仿宋" w:hAnsi="文星仿宋" w:cs="文星仿宋"/>
                <w:b/>
                <w:bCs/>
                <w:sz w:val="28"/>
                <w:szCs w:val="28"/>
              </w:rPr>
            </w:pPr>
            <w:r>
              <w:rPr>
                <w:rFonts w:ascii="文星仿宋" w:eastAsia="文星仿宋" w:hAnsi="文星仿宋" w:cs="文星仿宋" w:hint="eastAsia"/>
                <w:b/>
                <w:bCs/>
                <w:sz w:val="28"/>
                <w:szCs w:val="28"/>
              </w:rPr>
              <w:t>项目名称</w:t>
            </w:r>
          </w:p>
        </w:tc>
        <w:tc>
          <w:tcPr>
            <w:tcW w:w="4130" w:type="dxa"/>
            <w:vAlign w:val="center"/>
          </w:tcPr>
          <w:p w:rsidR="003D6F47" w:rsidRDefault="003D6F47" w:rsidP="00CD7184">
            <w:pPr>
              <w:spacing w:line="340" w:lineRule="exact"/>
              <w:jc w:val="center"/>
              <w:rPr>
                <w:rFonts w:ascii="文星仿宋" w:eastAsia="文星仿宋" w:hAnsi="文星仿宋" w:cs="文星仿宋"/>
                <w:b/>
                <w:bCs/>
                <w:sz w:val="28"/>
                <w:szCs w:val="28"/>
              </w:rPr>
            </w:pPr>
            <w:r>
              <w:rPr>
                <w:rFonts w:ascii="文星仿宋" w:eastAsia="文星仿宋" w:hAnsi="文星仿宋" w:cs="文星仿宋" w:hint="eastAsia"/>
                <w:b/>
                <w:bCs/>
                <w:sz w:val="28"/>
                <w:szCs w:val="28"/>
              </w:rPr>
              <w:t>内容及规模</w:t>
            </w:r>
          </w:p>
        </w:tc>
        <w:tc>
          <w:tcPr>
            <w:tcW w:w="1584" w:type="dxa"/>
            <w:vAlign w:val="center"/>
          </w:tcPr>
          <w:p w:rsidR="003D6F47" w:rsidRDefault="003D6F47" w:rsidP="00CD7184">
            <w:pPr>
              <w:spacing w:line="340" w:lineRule="exact"/>
              <w:jc w:val="center"/>
              <w:rPr>
                <w:rFonts w:ascii="文星仿宋" w:eastAsia="文星仿宋" w:hAnsi="文星仿宋" w:cs="文星仿宋"/>
                <w:b/>
                <w:bCs/>
                <w:sz w:val="28"/>
                <w:szCs w:val="28"/>
              </w:rPr>
            </w:pPr>
            <w:r>
              <w:rPr>
                <w:rFonts w:ascii="文星仿宋" w:eastAsia="文星仿宋" w:hAnsi="文星仿宋" w:cs="文星仿宋" w:hint="eastAsia"/>
                <w:b/>
                <w:bCs/>
                <w:sz w:val="28"/>
                <w:szCs w:val="28"/>
              </w:rPr>
              <w:t>责任单位</w:t>
            </w:r>
          </w:p>
        </w:tc>
        <w:tc>
          <w:tcPr>
            <w:tcW w:w="6300" w:type="dxa"/>
            <w:vAlign w:val="center"/>
          </w:tcPr>
          <w:p w:rsidR="003D6F47" w:rsidRDefault="003D6F47" w:rsidP="00CD7184">
            <w:pPr>
              <w:spacing w:line="340" w:lineRule="exact"/>
              <w:jc w:val="center"/>
              <w:rPr>
                <w:rFonts w:ascii="文星仿宋" w:eastAsia="文星仿宋" w:hAnsi="文星仿宋" w:cs="文星仿宋"/>
                <w:b/>
                <w:bCs/>
                <w:sz w:val="28"/>
                <w:szCs w:val="28"/>
              </w:rPr>
            </w:pPr>
            <w:r>
              <w:rPr>
                <w:rFonts w:ascii="文星仿宋" w:eastAsia="文星仿宋" w:hAnsi="文星仿宋" w:cs="文星仿宋" w:hint="eastAsia"/>
                <w:b/>
                <w:bCs/>
                <w:sz w:val="28"/>
                <w:szCs w:val="28"/>
              </w:rPr>
              <w:t>工作进展</w:t>
            </w:r>
          </w:p>
        </w:tc>
      </w:tr>
      <w:tr w:rsidR="003D6F47" w:rsidTr="00CD7184">
        <w:trPr>
          <w:cantSplit/>
          <w:trHeight w:val="3825"/>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1</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color w:val="000000"/>
                <w:sz w:val="28"/>
                <w:szCs w:val="28"/>
              </w:rPr>
              <w:t>“守护童心、筑梦未来”儿童关爱工程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color w:val="000000"/>
                <w:sz w:val="28"/>
                <w:szCs w:val="28"/>
              </w:rPr>
              <w:t>全面落实保障政策，对孤困儿童做到应保尽保。引入专业社工，开展社会化、规范化、精准化服务，整合多方服务资源，面向槐荫区建档儿童，提供生活状况评估、日常随访、心理健康辅导等多样关爱服务，助力困境儿童健康成长。</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color w:val="000000"/>
                <w:sz w:val="28"/>
                <w:szCs w:val="28"/>
              </w:rPr>
              <w:t>区民政局</w:t>
            </w:r>
          </w:p>
        </w:tc>
        <w:tc>
          <w:tcPr>
            <w:tcW w:w="6300" w:type="dxa"/>
            <w:vAlign w:val="center"/>
          </w:tcPr>
          <w:p w:rsidR="003D6F47" w:rsidRDefault="003D6F47" w:rsidP="00CD7184">
            <w:pPr>
              <w:widowControl/>
              <w:adjustRightInd w:val="0"/>
              <w:snapToGrid w:val="0"/>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1-9月份，累计发放孤困儿童基本生活补贴187.37万元、“福彩圆梦·孤儿助学工程”助学金0.25万元、“事实无人抚养儿童助学工程’助学金3万元。为全区505名困境儿童建立“一人一档，</w:t>
            </w:r>
            <w:r>
              <w:rPr>
                <w:rFonts w:ascii="仿宋" w:eastAsia="仿宋" w:hAnsi="仿宋" w:cs="仿宋" w:hint="eastAsia"/>
                <w:sz w:val="28"/>
                <w:szCs w:val="28"/>
                <w:lang/>
              </w:rPr>
              <w:t>动态管理</w:t>
            </w:r>
            <w:r>
              <w:rPr>
                <w:rFonts w:ascii="仿宋" w:eastAsia="仿宋" w:hAnsi="仿宋" w:cs="仿宋" w:hint="eastAsia"/>
                <w:sz w:val="28"/>
                <w:szCs w:val="28"/>
              </w:rPr>
              <w:t>”信息数据库，开展心理健康教育、困境儿童关爱、非遗文化传承、政策法规宣传、家庭教育课堂及主题文化研学等多元化活动182场，惠及儿童超3000人次。以“慈护未来，童梦成真”项目为纽带，已成功举办7次捐赠活动，募集物资价值8.1万元。</w:t>
            </w:r>
          </w:p>
        </w:tc>
      </w:tr>
      <w:tr w:rsidR="003D6F47" w:rsidTr="00CD7184">
        <w:trPr>
          <w:cantSplit/>
          <w:trHeight w:val="2653"/>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2</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color w:val="000000"/>
                <w:sz w:val="28"/>
                <w:szCs w:val="28"/>
              </w:rPr>
              <w:t>适龄妇女“两癌”检查项目</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color w:val="000000"/>
                <w:sz w:val="28"/>
                <w:szCs w:val="28"/>
              </w:rPr>
              <w:t>对辖区35至64岁妇女进行宫颈癌、乳腺癌筛查，提高辖区适龄妇女“两癌”疾病早诊早治率，完善维护妇女健康长效机制。</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color w:val="000000"/>
                <w:sz w:val="28"/>
                <w:szCs w:val="28"/>
              </w:rPr>
              <w:t>区卫生健康局</w:t>
            </w:r>
          </w:p>
        </w:tc>
        <w:tc>
          <w:tcPr>
            <w:tcW w:w="6300" w:type="dxa"/>
            <w:vAlign w:val="center"/>
          </w:tcPr>
          <w:p w:rsidR="003D6F47" w:rsidRDefault="003D6F47" w:rsidP="00CD7184">
            <w:pPr>
              <w:widowControl/>
              <w:adjustRightInd w:val="0"/>
              <w:snapToGrid w:val="0"/>
              <w:spacing w:line="360" w:lineRule="exact"/>
              <w:ind w:firstLineChars="200" w:firstLine="560"/>
              <w:textAlignment w:val="center"/>
              <w:rPr>
                <w:rFonts w:ascii="仿宋" w:eastAsia="仿宋" w:hAnsi="仿宋" w:cs="仿宋"/>
                <w:sz w:val="28"/>
                <w:szCs w:val="28"/>
                <w:lang w:val="zh-CN"/>
              </w:rPr>
            </w:pPr>
            <w:r>
              <w:rPr>
                <w:rFonts w:ascii="仿宋" w:eastAsia="仿宋" w:hAnsi="仿宋" w:cs="仿宋" w:hint="eastAsia"/>
                <w:sz w:val="28"/>
                <w:szCs w:val="28"/>
                <w:lang w:val="zh-CN"/>
              </w:rPr>
              <w:t>2025年适龄妇女“两癌”检查项目目标人群4600人，乳腺癌筛查4440人，</w:t>
            </w:r>
            <w:r>
              <w:rPr>
                <w:rFonts w:ascii="仿宋" w:eastAsia="仿宋" w:hAnsi="仿宋" w:cs="仿宋" w:hint="eastAsia"/>
                <w:sz w:val="28"/>
                <w:szCs w:val="28"/>
              </w:rPr>
              <w:t>1-9月份，</w:t>
            </w:r>
            <w:r>
              <w:rPr>
                <w:rFonts w:ascii="仿宋" w:eastAsia="仿宋" w:hAnsi="仿宋" w:cs="仿宋" w:hint="eastAsia"/>
                <w:sz w:val="28"/>
                <w:szCs w:val="28"/>
                <w:lang w:val="zh-CN"/>
              </w:rPr>
              <w:t>完成目标人群覆盖率96.52%，宫颈癌筛查4345人，完成目标人群覆盖率94.46%。确诊宫颈低级别病变53人、宫颈癌及癌前病变19人，确诊乳腺癌9人。</w:t>
            </w:r>
          </w:p>
        </w:tc>
      </w:tr>
      <w:tr w:rsidR="003D6F47" w:rsidTr="00CD7184">
        <w:trPr>
          <w:cantSplit/>
          <w:trHeight w:val="3850"/>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lastRenderedPageBreak/>
              <w:t>3</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适龄人群出生缺陷干预和老年人白内障复明工程</w:t>
            </w:r>
          </w:p>
        </w:tc>
        <w:tc>
          <w:tcPr>
            <w:tcW w:w="413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按照预防为主、知情选择、自愿参加的原则，对适龄人群免费开展有关项目检查。普及优生优育和妇幼保健知识，降低出生缺陷发生率，提高出生人口素质；对经筛查符合手术指征的槐荫区户籍60周岁以上老年人免费实施白内障复明手术。</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区卫生健康局</w:t>
            </w:r>
          </w:p>
        </w:tc>
        <w:tc>
          <w:tcPr>
            <w:tcW w:w="630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lang w:val="zh-CN"/>
              </w:rPr>
            </w:pPr>
            <w:r>
              <w:rPr>
                <w:rFonts w:ascii="仿宋" w:eastAsia="仿宋" w:hAnsi="仿宋" w:cs="仿宋" w:hint="eastAsia"/>
                <w:sz w:val="28"/>
                <w:szCs w:val="28"/>
              </w:rPr>
              <w:t>1.</w:t>
            </w:r>
            <w:r>
              <w:rPr>
                <w:rFonts w:ascii="仿宋" w:eastAsia="仿宋" w:hAnsi="仿宋" w:cs="仿宋" w:hint="eastAsia"/>
                <w:sz w:val="28"/>
                <w:szCs w:val="28"/>
                <w:lang w:val="zh-CN"/>
              </w:rPr>
              <w:t>2025年孕前优生健康检查目标人群950人，婚检目标人数1500人。截止</w:t>
            </w:r>
            <w:r>
              <w:rPr>
                <w:rFonts w:ascii="仿宋" w:eastAsia="仿宋" w:hAnsi="仿宋" w:cs="仿宋" w:hint="eastAsia"/>
                <w:sz w:val="28"/>
                <w:szCs w:val="28"/>
              </w:rPr>
              <w:t>目前</w:t>
            </w:r>
            <w:r>
              <w:rPr>
                <w:rFonts w:ascii="仿宋" w:eastAsia="仿宋" w:hAnsi="仿宋" w:cs="仿宋" w:hint="eastAsia"/>
                <w:sz w:val="28"/>
                <w:szCs w:val="28"/>
                <w:lang w:val="zh-CN"/>
              </w:rPr>
              <w:t>婚前查体完成1169人，目标覆盖率77.93%，检出疾病74人，疾病检出率6.33%。孕前优生查体完成771人，目标覆盖率81.15%，高风险人数116人，高风险率15.04%。</w:t>
            </w:r>
          </w:p>
          <w:p w:rsidR="003D6F47" w:rsidRDefault="003D6F47" w:rsidP="00CD7184">
            <w:pPr>
              <w:widowControl/>
              <w:spacing w:line="360" w:lineRule="exact"/>
              <w:ind w:firstLineChars="200" w:firstLine="560"/>
              <w:textAlignment w:val="center"/>
              <w:rPr>
                <w:rFonts w:ascii="仿宋" w:eastAsia="仿宋" w:hAnsi="仿宋" w:cs="仿宋"/>
                <w:sz w:val="28"/>
                <w:szCs w:val="28"/>
                <w:lang w:val="zh-CN"/>
              </w:rPr>
            </w:pPr>
            <w:r>
              <w:rPr>
                <w:rFonts w:ascii="仿宋" w:eastAsia="仿宋" w:hAnsi="仿宋" w:cs="仿宋" w:hint="eastAsia"/>
                <w:sz w:val="28"/>
                <w:szCs w:val="28"/>
              </w:rPr>
              <w:t>2.本年度政府项目任务要求为完成对符合手术指征的100例救助手术，负责医院为山东省眼科医院。自5月15日项目正式启动至截止7月底，共开展义诊115场，参与群众6325人次，到院筛查约260人次，盖章审批126人，手术完成100人。（已完成）</w:t>
            </w:r>
          </w:p>
        </w:tc>
      </w:tr>
      <w:tr w:rsidR="003D6F47" w:rsidTr="00CD7184">
        <w:trPr>
          <w:cantSplit/>
          <w:trHeight w:val="4310"/>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4</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计划生育失独家庭“暖心行动”</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对槐荫区失独家庭开展节日上门慰问、志愿服务、集体交流联谊活动、专业心理咨询服务、暖心家园建设等工作。</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区卫生健康局</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槐荫区2025年失独家庭人员817人，截至目前拨付“暖心行动”资金75.1万元；开展春节走访慰问失独家庭753人、每人200元物资；生日关怀、中秋走访慰问全覆盖；集体交流联谊活动54场；重点户慰问134户次；一对一个案咨询服务98户次；团体辅导28场；新建市级“暖心家园”4处；开展了计生特殊家庭互动话术和危机鉴别技术技能培训，成功申报计生特殊家庭的国家项目——《计划生育特殊家庭扶助关怀能力建设项目》。</w:t>
            </w:r>
          </w:p>
        </w:tc>
      </w:tr>
      <w:tr w:rsidR="003D6F47" w:rsidTr="00CD7184">
        <w:trPr>
          <w:cantSplit/>
          <w:trHeight w:val="3875"/>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lastRenderedPageBreak/>
              <w:t>5</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“槐暖夕阳”养老服务项目</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为槐荫区符合条件的特殊困难老年人、失能老年人提供居家养老服务，加大特殊老年人保障力度，加强居家养老兜底保障，深化社会化养老服务工作。</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区民政局负责</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通过公开招投标的方式引进山东椿萱康宁养老服务有限公司、尊尚健康产业有限公司2家专业服务机构，为具有济南市户籍且常住本区的60周岁及以上的特殊老年群体购买居家养老服务和家庭养老床位服务，以“立足社区，面向老人、专业服务”为特点，根据老年人需求设立服务项目，服务内容主要包括生活照料、精神慰藉、医疗保健等。2025年累计为646名老人提供居家养老服务和412位老人提供家庭养老床位服务，真正实现将专业的养老服务延伸至家庭。</w:t>
            </w:r>
          </w:p>
        </w:tc>
      </w:tr>
      <w:tr w:rsidR="003D6F47" w:rsidTr="00CD7184">
        <w:trPr>
          <w:cantSplit/>
          <w:trHeight w:val="2225"/>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6</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基础教育设施建设提升工程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新建君悦首府幼儿园等5处教育设施，进一步扩增教育资源，新增加学位不少于1700个，让槐荫区的孩子在家门口就能享受更高品质的教育。</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区教育和体育局</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西沙王庄城中村改造项目X-1地块幼儿园、君悦首府幼儿园、青岛路以北X地块幼儿园3处教育设施已完工；腊山河西路东侧X-1地块幼儿园教学楼基本完工，正在进行室外工程施工；海信时代城15班幼儿园正在进行主体施工。</w:t>
            </w:r>
          </w:p>
        </w:tc>
      </w:tr>
      <w:tr w:rsidR="003D6F47" w:rsidTr="00CD7184">
        <w:trPr>
          <w:cantSplit/>
          <w:trHeight w:val="2690"/>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7</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“银龄安康”工程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为槐荫区户籍60周岁及以上老年人购买“银龄安康”老年人意外伤害组合保险，加强老年人社会保障工作，提高老年人抵御风险能力。</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区民政局</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将“银龄安康”工程作为重点民生工程扎实推进，通过“政府主导、多元参与、普惠共享”机制，投入100万元为全区60周岁及以上户籍老年人购买意外伤害保险，切实织密老年群体风险防护网:提升晚年生活获得感与安全感。2025年“银龄安康”普惠保险共计理赔165名老年人，理赔金额41.0974万元。</w:t>
            </w:r>
          </w:p>
        </w:tc>
      </w:tr>
      <w:tr w:rsidR="003D6F47" w:rsidTr="00CD7184">
        <w:trPr>
          <w:cantSplit/>
          <w:trHeight w:val="4190"/>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lastRenderedPageBreak/>
              <w:t>8</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“幸福槐荫、体育惠民”工程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加快公共体育设施提档升级，打造提升2处体育主题公园、15处体育健身场地。扩大赛事活动知名度和影响力，做强5项本土传统品牌赛事。宣传和倡导科学健身理念，培训国家三级社会体育指导员200人，提升全民健身志愿服务品质。</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区体育事业发展中心</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加快公共体育设施提档升级，截止目前已完成济南森林公园的体育场地及配套设施建设工作。在腊山街道、玉清湖街道、张庄路街道等9个街道辖区内打造提升24处体育健身场地。打造槐荫区传统品牌赛事，已举办槐荫黄河生态半程马拉松赛、SN超级熊孩子障碍挑战赛(济南站)、“尚乎AI杯”第十届超梦天团青少年国际街舞大赛、“走进社区 走进农村”全民健身志愿服务活动、“体育赛事进商圈”系列活动等品牌赛事及社区趣味健身运动会100余场。截至目前，共举行四期国家三级社会体育指导员培训，共229人。</w:t>
            </w:r>
          </w:p>
        </w:tc>
      </w:tr>
      <w:tr w:rsidR="003D6F47" w:rsidTr="00CD7184">
        <w:trPr>
          <w:cantSplit/>
          <w:trHeight w:val="3335"/>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9</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“向阳花开”残疾人关爱行动</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对具有槐荫区户籍、持有残疾人证，在中等（含高中）以上院校在读的残疾学生和残疾人子女进行教育资助；为符合条件的0—17岁残疾儿童实施康复救助。</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区残联</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1、以入户走访、现场咨询、电话答复、发放明白纸等多种方式，向有需求或符合条件的对象广泛宣传，建立管理台账，实现符合条件的人员对教育资助政策“应知尽知”“应享尽享”。截止9月底，共资助残疾学生及残疾人子女489人，涉及资助金127.86万元。</w:t>
            </w:r>
          </w:p>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2、截止9月底，已累计对397名残疾儿童开展康复救助，实现“应助尽助”。</w:t>
            </w:r>
          </w:p>
        </w:tc>
      </w:tr>
      <w:tr w:rsidR="003D6F47" w:rsidTr="00CD7184">
        <w:trPr>
          <w:cantSplit/>
          <w:trHeight w:val="2680"/>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lastRenderedPageBreak/>
              <w:t>10</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幸福安居保障项目</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缓解城市中低收入家庭住房困难，解决城市新市民、青年人等群体住房难题，为符合政策要求的居民家庭和个人提供住房租赁补贴。</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区住房城乡建设局</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bookmarkStart w:id="0" w:name="OLE_LINK2"/>
            <w:bookmarkStart w:id="1" w:name="OLE_LINK1"/>
            <w:r>
              <w:rPr>
                <w:rFonts w:ascii="仿宋" w:eastAsia="仿宋" w:hAnsi="仿宋" w:cs="仿宋" w:hint="eastAsia"/>
                <w:sz w:val="28"/>
                <w:szCs w:val="28"/>
              </w:rPr>
              <w:t>1、2025年一季度新市民、新青年</w:t>
            </w:r>
            <w:bookmarkEnd w:id="0"/>
            <w:bookmarkEnd w:id="1"/>
            <w:r>
              <w:rPr>
                <w:rFonts w:ascii="仿宋" w:eastAsia="仿宋" w:hAnsi="仿宋" w:cs="仿宋" w:hint="eastAsia"/>
                <w:sz w:val="28"/>
                <w:szCs w:val="28"/>
              </w:rPr>
              <w:t>租赁住房补贴核准发放2363户（次）,已发放完成；二季度2533户（次）、三季度2486户（次）尚未发放。</w:t>
            </w:r>
          </w:p>
          <w:p w:rsidR="003D6F47" w:rsidRDefault="003D6F47" w:rsidP="00CD7184">
            <w:pPr>
              <w:widowControl/>
              <w:spacing w:line="360" w:lineRule="exact"/>
              <w:ind w:firstLineChars="200" w:firstLine="560"/>
              <w:jc w:val="left"/>
              <w:textAlignment w:val="center"/>
              <w:rPr>
                <w:rFonts w:ascii="仿宋" w:eastAsia="仿宋" w:hAnsi="仿宋" w:cs="仿宋"/>
                <w:sz w:val="28"/>
                <w:szCs w:val="28"/>
                <w:lang w:val="zh-CN"/>
              </w:rPr>
            </w:pPr>
            <w:bookmarkStart w:id="2" w:name="OLE_LINK9"/>
            <w:r>
              <w:rPr>
                <w:rFonts w:ascii="仿宋" w:eastAsia="仿宋" w:hAnsi="仿宋" w:cs="仿宋" w:hint="eastAsia"/>
                <w:sz w:val="28"/>
                <w:szCs w:val="28"/>
              </w:rPr>
              <w:t>2、2025年一季度低收入家庭租赁住房补贴核准发放46户（次）、二季度52户（次）</w:t>
            </w:r>
            <w:bookmarkStart w:id="3" w:name="OLE_LINK11"/>
            <w:bookmarkStart w:id="4" w:name="OLE_LINK12"/>
            <w:bookmarkEnd w:id="2"/>
            <w:r>
              <w:rPr>
                <w:rFonts w:ascii="仿宋" w:eastAsia="仿宋" w:hAnsi="仿宋" w:cs="仿宋" w:hint="eastAsia"/>
                <w:sz w:val="28"/>
                <w:szCs w:val="28"/>
              </w:rPr>
              <w:t>已全部发放完毕</w:t>
            </w:r>
            <w:bookmarkEnd w:id="3"/>
            <w:bookmarkEnd w:id="4"/>
            <w:r>
              <w:rPr>
                <w:rFonts w:ascii="仿宋" w:eastAsia="仿宋" w:hAnsi="仿宋" w:cs="仿宋" w:hint="eastAsia"/>
                <w:sz w:val="28"/>
                <w:szCs w:val="28"/>
              </w:rPr>
              <w:t>，三季度44户（次）,尚未发放。</w:t>
            </w:r>
          </w:p>
        </w:tc>
      </w:tr>
      <w:tr w:rsidR="003D6F47" w:rsidTr="00CD7184">
        <w:trPr>
          <w:cantSplit/>
          <w:trHeight w:val="3185"/>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11</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“关爱生命、救在身边”工程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建立2处市级以上应急救护培训基地。加大应急救护培训师培训力度，开展应急救护培训“进社区、进农村、进学校、进企业、进机关、进家庭”六进活动，在交通客运场站等人流密集场所培训救护员，年内持证培训人数4000人以上。</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区红十字会</w:t>
            </w:r>
          </w:p>
        </w:tc>
        <w:tc>
          <w:tcPr>
            <w:tcW w:w="6300" w:type="dxa"/>
            <w:vAlign w:val="center"/>
          </w:tcPr>
          <w:p w:rsidR="003D6F47" w:rsidRDefault="003D6F47" w:rsidP="00CD7184">
            <w:pPr>
              <w:widowControl/>
              <w:spacing w:line="30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1、截至目前，区红十字会在南辛庄济微路社区生命教育健康基地、山东第一医科大学建立了应急救护培训基地2处。</w:t>
            </w:r>
          </w:p>
          <w:p w:rsidR="003D6F47" w:rsidRDefault="003D6F47" w:rsidP="00CD7184">
            <w:pPr>
              <w:widowControl/>
              <w:spacing w:line="30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2、截至9月30日，区红十字会的应急救护培训走进了社区、企业、学校、医养机构、军营等，持证培训人数4674人次。</w:t>
            </w:r>
          </w:p>
        </w:tc>
      </w:tr>
      <w:tr w:rsidR="003D6F47" w:rsidTr="00CD7184">
        <w:trPr>
          <w:cantSplit/>
          <w:trHeight w:val="2788"/>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12</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消防救援站建设项目</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新建设启用消防救援站1处，配备8个消防执勤库、5个执勤班，进一步调整充实我区的消防救援力量。</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区消防救援大队</w:t>
            </w:r>
          </w:p>
        </w:tc>
        <w:tc>
          <w:tcPr>
            <w:tcW w:w="630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新建设消防救援站位于经十西路505号，截至目前，室内工程、室外工程已全部完毕，计划11月初规划核实完成。</w:t>
            </w:r>
          </w:p>
        </w:tc>
      </w:tr>
      <w:tr w:rsidR="003D6F47" w:rsidTr="00CD7184">
        <w:trPr>
          <w:cantSplit/>
          <w:trHeight w:val="3115"/>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lastRenderedPageBreak/>
              <w:t>13</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适龄儿童免费牙齿涂氟防龋项目</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对槐荫区幼儿园中班儿童，全年开展一次牙齿涂氟防龋治疗。</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区卫生健康局</w:t>
            </w:r>
          </w:p>
        </w:tc>
        <w:tc>
          <w:tcPr>
            <w:tcW w:w="630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确定济南市口腔医院、济南市儿童医院、槐荫人民医院、槐荫雅宝特门诊部4家医院作为定点医疗机构。定点机构于7月份起逐步入园开展健康教育和涂氟治疗，截至目前已完成69所幼儿园，口腔检查3405人，儿童涂氟3166人，项目完成进度约50%，预计11月底前完成儿童涂氟项目的所有工作。</w:t>
            </w:r>
          </w:p>
        </w:tc>
      </w:tr>
      <w:tr w:rsidR="003D6F47" w:rsidTr="00CD7184">
        <w:trPr>
          <w:cantSplit/>
          <w:trHeight w:val="1899"/>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14</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城乡公益性岗位保障工程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兜底安置槐荫区城乡困难群体就业，保障1939个城镇公益性岗位和1717个乡村公益性岗位。</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区人力资源社会保障局</w:t>
            </w:r>
          </w:p>
        </w:tc>
        <w:tc>
          <w:tcPr>
            <w:tcW w:w="630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积极开发公益岗位，促进失业人员稳定就业，截至9月底，共规范2664名城乡公益岗管理，其中，城镇公益岗1491个，乡村公益岗1173个。</w:t>
            </w:r>
          </w:p>
        </w:tc>
      </w:tr>
      <w:tr w:rsidR="003D6F47" w:rsidTr="00CD7184">
        <w:trPr>
          <w:cantSplit/>
          <w:trHeight w:val="3250"/>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15</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农村生活污水设施运维提升工程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对槐荫区农村区域26个污水处理站、6个一体化泵站的污水收集处理设施及219.26公里的雨污水管网设施实施统一运维，提升农村污水设施运行效能。</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区水务局</w:t>
            </w:r>
          </w:p>
        </w:tc>
        <w:tc>
          <w:tcPr>
            <w:tcW w:w="630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lang/>
              </w:rPr>
              <w:t>制定下发了《槐荫区农村生活污水治理设施运维管理考核方案》《槐荫区水务局农村生活污水治理巡查制度》等规范性文件；建立了智慧水务管控平台，对所有污水处理站进行实时监控，提高水务管理工作效率、节约管控运维成本、保障人员及设备的安全运行。由中建（济南）投资公司对农村设施进行运维，目前我区农村污水设施运行安全。</w:t>
            </w:r>
          </w:p>
        </w:tc>
      </w:tr>
      <w:tr w:rsidR="003D6F47" w:rsidTr="00CD7184">
        <w:trPr>
          <w:cantSplit/>
          <w:trHeight w:val="3985"/>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lastRenderedPageBreak/>
              <w:t>16</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“医养之都”宜商服务中心建设工程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依托济南国际医学中心资源，在精准医学产业园建设一处宜商服务中心，争取省市审批事项权限下放，优化创新服务企业机制，提供以医疗器械、医疗服务、生物医药为主，覆盖各类型企业的宜商服务，将其打造为链接各方、综合集成、快捷高效的宜商服务平台。</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区行政审批服务局</w:t>
            </w:r>
          </w:p>
        </w:tc>
        <w:tc>
          <w:tcPr>
            <w:tcW w:w="630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lang w:val="zh-CN"/>
              </w:rPr>
            </w:pPr>
            <w:r>
              <w:rPr>
                <w:rFonts w:ascii="仿宋" w:eastAsia="仿宋" w:hAnsi="仿宋" w:cs="仿宋" w:hint="eastAsia"/>
                <w:sz w:val="28"/>
                <w:szCs w:val="28"/>
              </w:rPr>
              <w:t>经</w:t>
            </w:r>
            <w:r>
              <w:rPr>
                <w:rFonts w:ascii="仿宋" w:eastAsia="仿宋" w:hAnsi="仿宋" w:cs="仿宋" w:hint="eastAsia"/>
                <w:sz w:val="28"/>
                <w:szCs w:val="28"/>
                <w:lang w:val="zh-CN"/>
              </w:rPr>
              <w:t>座谈</w:t>
            </w:r>
            <w:r>
              <w:rPr>
                <w:rFonts w:ascii="仿宋" w:eastAsia="仿宋" w:hAnsi="仿宋" w:cs="仿宋" w:hint="eastAsia"/>
                <w:sz w:val="28"/>
                <w:szCs w:val="28"/>
              </w:rPr>
              <w:t>和</w:t>
            </w:r>
            <w:r>
              <w:rPr>
                <w:rFonts w:ascii="仿宋" w:eastAsia="仿宋" w:hAnsi="仿宋" w:cs="仿宋" w:hint="eastAsia"/>
                <w:sz w:val="28"/>
                <w:szCs w:val="28"/>
                <w:lang w:val="zh-CN"/>
              </w:rPr>
              <w:t>实地考察，</w:t>
            </w:r>
            <w:r>
              <w:rPr>
                <w:rFonts w:ascii="仿宋" w:eastAsia="仿宋" w:hAnsi="仿宋" w:cs="仿宋" w:hint="eastAsia"/>
                <w:sz w:val="28"/>
                <w:szCs w:val="28"/>
              </w:rPr>
              <w:t>宜商服务</w:t>
            </w:r>
            <w:r>
              <w:rPr>
                <w:rFonts w:ascii="仿宋" w:eastAsia="仿宋" w:hAnsi="仿宋" w:cs="仿宋" w:hint="eastAsia"/>
                <w:sz w:val="28"/>
                <w:szCs w:val="28"/>
                <w:lang w:val="zh-CN"/>
              </w:rPr>
              <w:t>中心拟在槐荫区济齐路365号6号服务中心2楼建设，</w:t>
            </w:r>
            <w:r>
              <w:rPr>
                <w:rFonts w:ascii="仿宋" w:eastAsia="仿宋" w:hAnsi="仿宋" w:cs="仿宋" w:hint="eastAsia"/>
                <w:sz w:val="28"/>
                <w:szCs w:val="28"/>
              </w:rPr>
              <w:t>目前，</w:t>
            </w:r>
            <w:r>
              <w:rPr>
                <w:rFonts w:ascii="仿宋" w:eastAsia="仿宋" w:hAnsi="仿宋" w:cs="仿宋" w:hint="eastAsia"/>
                <w:sz w:val="28"/>
                <w:szCs w:val="28"/>
                <w:lang w:val="zh-CN"/>
              </w:rPr>
              <w:t>中心场地</w:t>
            </w:r>
            <w:r>
              <w:rPr>
                <w:rFonts w:ascii="仿宋" w:eastAsia="仿宋" w:hAnsi="仿宋" w:cs="仿宋" w:hint="eastAsia"/>
                <w:sz w:val="28"/>
                <w:szCs w:val="28"/>
              </w:rPr>
              <w:t>选址、</w:t>
            </w:r>
            <w:r>
              <w:rPr>
                <w:rFonts w:ascii="仿宋" w:eastAsia="仿宋" w:hAnsi="仿宋" w:cs="仿宋" w:hint="eastAsia"/>
                <w:sz w:val="28"/>
                <w:szCs w:val="28"/>
                <w:lang w:val="zh-CN"/>
              </w:rPr>
              <w:t>窗口规划</w:t>
            </w:r>
            <w:r>
              <w:rPr>
                <w:rFonts w:ascii="仿宋" w:eastAsia="仿宋" w:hAnsi="仿宋" w:cs="仿宋" w:hint="eastAsia"/>
                <w:sz w:val="28"/>
                <w:szCs w:val="28"/>
              </w:rPr>
              <w:t>已完毕</w:t>
            </w:r>
            <w:r>
              <w:rPr>
                <w:rFonts w:ascii="仿宋" w:eastAsia="仿宋" w:hAnsi="仿宋" w:cs="仿宋" w:hint="eastAsia"/>
                <w:sz w:val="28"/>
                <w:szCs w:val="28"/>
                <w:lang w:val="zh-CN"/>
              </w:rPr>
              <w:t>。9月26日，邀请市审批局体系建设处和市企业服务中心帮代办部到医学中心指导“医养之都”宜商服务中心建设，成立“泉惠企”服务站，统筹全区商务全能型（ATM-II-620型）自助设备，目前自助设备已经进驻，并调试完毕。</w:t>
            </w:r>
          </w:p>
        </w:tc>
      </w:tr>
      <w:tr w:rsidR="003D6F47" w:rsidTr="00CD7184">
        <w:trPr>
          <w:cantSplit/>
          <w:trHeight w:val="4870"/>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17</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腊山河南段综合治理提升工程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实施腊山河西路（经十西路以南部分）建设，新建道路611米、雨水管线1550米，配套实施给水、通信管线土建及绿化、照明、交通设施建设。同步实施腊山河南段河道综合治理。</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区水务局</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lang/>
              </w:rPr>
            </w:pPr>
            <w:r>
              <w:rPr>
                <w:rFonts w:ascii="仿宋" w:eastAsia="仿宋" w:hAnsi="仿宋" w:cs="仿宋" w:hint="eastAsia"/>
                <w:sz w:val="28"/>
                <w:szCs w:val="28"/>
                <w:lang/>
              </w:rPr>
              <w:t>1.腊山河西路南延：已完成除轨道交通占压外的苗木迁移、雨水管道、通讯管道、绿化填土、道路基层及沥青下面层、中面层的施工，完成量80%。</w:t>
            </w:r>
          </w:p>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lang/>
              </w:rPr>
              <w:t>2.腊山河南段综合治理项目：工程总长度679米，已完成治理560米，主要完成内容有跌水坎一座、河道边坡及河底土方开挖外运20000立方米、卵石护底520米、护坡及河底砌石200立方米、污水管道改迁720米。待轨道交通11月上旬移交施工场地后尽快组织施工剩余工程量，计划年底完成腊山河南段综合治理。</w:t>
            </w:r>
          </w:p>
        </w:tc>
      </w:tr>
      <w:tr w:rsidR="003D6F47" w:rsidTr="00CD7184">
        <w:trPr>
          <w:cantSplit/>
          <w:trHeight w:val="2062"/>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lastRenderedPageBreak/>
              <w:t>18</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城乡道路养护提升工程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对经十路、纬十二路、阳光新路、经七路、二环西路等主次干道及街巷道路进行重点养护提升。对全区84.763公里农村公路开展动态养护维修，保持农村公路列养率100%。</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区市政工程服务中心</w:t>
            </w:r>
          </w:p>
        </w:tc>
        <w:tc>
          <w:tcPr>
            <w:tcW w:w="630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1、城区道路：围绕经十路、纬十二路阳光新路、经七路、二环西路等主次干线道路和街巷道路，开展道路病害处治、安全隐患排查整治等道路保畅维护行动，截至目前共完成道路坑槽修补23238.6平方米，维修人行道11075.5平方米。</w:t>
            </w:r>
          </w:p>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2、农村公路：对全区农村公路开展动态养护，共完成学校周边校车停靠站点交通标线施划96.4平方米，安装停车及提示标志牌26块、钢制立杆5根，路面坑槽修补3000余平方米，检查井维修约6座、雨水斗维修约6座，恢复震荡标线约200平方米，农村公路列养率达到100%。</w:t>
            </w:r>
          </w:p>
        </w:tc>
      </w:tr>
      <w:tr w:rsidR="003D6F47" w:rsidTr="00CD7184">
        <w:trPr>
          <w:cantSplit/>
          <w:trHeight w:val="1850"/>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19</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普惠托育项目</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大力发展普惠托育服务，支持用人单位、社区、国有企业实施“嵌入式”办托，积极推进托幼一体化建设，年内完成2家幼儿园开设托育班。</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区卫生健康局</w:t>
            </w:r>
          </w:p>
        </w:tc>
        <w:tc>
          <w:tcPr>
            <w:tcW w:w="630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lang/>
              </w:rPr>
              <w:t>推动公立幼儿园变更法人证书，引导符合开班条件的幼儿园登记备案，现已有43家公办幼儿园完成法人证书增设托育服务范围。其中13家幼儿园完成托育备案，5家已认定普惠托育。</w:t>
            </w:r>
          </w:p>
        </w:tc>
      </w:tr>
      <w:tr w:rsidR="003D6F47" w:rsidTr="00CD7184">
        <w:trPr>
          <w:cantSplit/>
          <w:trHeight w:val="2243"/>
          <w:jc w:val="center"/>
        </w:trPr>
        <w:tc>
          <w:tcPr>
            <w:tcW w:w="905" w:type="dxa"/>
            <w:vAlign w:val="center"/>
          </w:tcPr>
          <w:p w:rsidR="003D6F47" w:rsidRDefault="003D6F47" w:rsidP="00CD7184">
            <w:pPr>
              <w:adjustRightInd w:val="0"/>
              <w:snapToGrid w:val="0"/>
              <w:spacing w:line="320" w:lineRule="exact"/>
              <w:jc w:val="center"/>
              <w:rPr>
                <w:rFonts w:ascii="仿宋" w:eastAsia="仿宋" w:hAnsi="仿宋" w:cs="仿宋"/>
                <w:sz w:val="28"/>
                <w:szCs w:val="28"/>
              </w:rPr>
            </w:pPr>
            <w:r>
              <w:rPr>
                <w:rFonts w:ascii="仿宋" w:eastAsia="仿宋" w:hAnsi="仿宋" w:cs="仿宋" w:hint="eastAsia"/>
                <w:sz w:val="28"/>
                <w:szCs w:val="28"/>
              </w:rPr>
              <w:t>20</w:t>
            </w:r>
          </w:p>
        </w:tc>
        <w:tc>
          <w:tcPr>
            <w:tcW w:w="1958" w:type="dxa"/>
            <w:vAlign w:val="center"/>
          </w:tcPr>
          <w:p w:rsidR="003D6F47" w:rsidRDefault="003D6F47" w:rsidP="00CD7184">
            <w:pPr>
              <w:widowControl/>
              <w:spacing w:line="360" w:lineRule="exact"/>
              <w:jc w:val="left"/>
              <w:textAlignment w:val="center"/>
              <w:rPr>
                <w:rFonts w:ascii="仿宋" w:eastAsia="仿宋" w:hAnsi="仿宋" w:cs="仿宋"/>
                <w:sz w:val="28"/>
                <w:szCs w:val="28"/>
              </w:rPr>
            </w:pPr>
            <w:r>
              <w:rPr>
                <w:rFonts w:ascii="仿宋" w:eastAsia="仿宋" w:hAnsi="仿宋" w:cs="仿宋" w:hint="eastAsia"/>
                <w:sz w:val="28"/>
                <w:szCs w:val="28"/>
              </w:rPr>
              <w:t>劳动人事争议调解中心建设工程</w:t>
            </w:r>
          </w:p>
        </w:tc>
        <w:tc>
          <w:tcPr>
            <w:tcW w:w="4130" w:type="dxa"/>
            <w:vAlign w:val="center"/>
          </w:tcPr>
          <w:p w:rsidR="003D6F47" w:rsidRDefault="003D6F47" w:rsidP="00CD7184">
            <w:pPr>
              <w:widowControl/>
              <w:spacing w:line="360" w:lineRule="exact"/>
              <w:ind w:firstLineChars="200" w:firstLine="560"/>
              <w:jc w:val="left"/>
              <w:textAlignment w:val="center"/>
              <w:rPr>
                <w:rFonts w:ascii="仿宋" w:eastAsia="仿宋" w:hAnsi="仿宋" w:cs="仿宋"/>
                <w:sz w:val="28"/>
                <w:szCs w:val="28"/>
              </w:rPr>
            </w:pPr>
            <w:r>
              <w:rPr>
                <w:rFonts w:ascii="仿宋" w:eastAsia="仿宋" w:hAnsi="仿宋" w:cs="仿宋" w:hint="eastAsia"/>
                <w:sz w:val="28"/>
                <w:szCs w:val="28"/>
              </w:rPr>
              <w:t>设立区劳动人事争议调解中心，受理全区劳动人事争议调解工作，切实将劳动纠纷化解在案前，更好更快保障劳动者合法权益。</w:t>
            </w:r>
          </w:p>
        </w:tc>
        <w:tc>
          <w:tcPr>
            <w:tcW w:w="1584" w:type="dxa"/>
            <w:vAlign w:val="center"/>
          </w:tcPr>
          <w:p w:rsidR="003D6F47" w:rsidRDefault="003D6F47" w:rsidP="00CD7184">
            <w:pPr>
              <w:widowControl/>
              <w:spacing w:line="360" w:lineRule="exact"/>
              <w:jc w:val="center"/>
              <w:textAlignment w:val="center"/>
              <w:rPr>
                <w:rFonts w:ascii="仿宋" w:eastAsia="仿宋" w:hAnsi="仿宋" w:cs="仿宋"/>
                <w:sz w:val="28"/>
                <w:szCs w:val="28"/>
              </w:rPr>
            </w:pPr>
            <w:r>
              <w:rPr>
                <w:rFonts w:ascii="仿宋" w:eastAsia="仿宋" w:hAnsi="仿宋" w:cs="仿宋" w:hint="eastAsia"/>
                <w:sz w:val="28"/>
                <w:szCs w:val="28"/>
              </w:rPr>
              <w:t>区人力资源社会保障局</w:t>
            </w:r>
          </w:p>
        </w:tc>
        <w:tc>
          <w:tcPr>
            <w:tcW w:w="6300" w:type="dxa"/>
            <w:vAlign w:val="center"/>
          </w:tcPr>
          <w:p w:rsidR="003D6F47" w:rsidRDefault="003D6F47" w:rsidP="00CD7184">
            <w:pPr>
              <w:widowControl/>
              <w:spacing w:line="360" w:lineRule="exact"/>
              <w:ind w:firstLineChars="200" w:firstLine="560"/>
              <w:textAlignment w:val="center"/>
              <w:rPr>
                <w:rFonts w:ascii="仿宋" w:eastAsia="仿宋" w:hAnsi="仿宋" w:cs="仿宋"/>
                <w:sz w:val="28"/>
                <w:szCs w:val="28"/>
              </w:rPr>
            </w:pPr>
            <w:r>
              <w:rPr>
                <w:rFonts w:ascii="仿宋" w:eastAsia="仿宋" w:hAnsi="仿宋" w:cs="仿宋" w:hint="eastAsia"/>
                <w:sz w:val="28"/>
                <w:szCs w:val="28"/>
              </w:rPr>
              <w:t>由区人社局劳动人事争议仲裁院主导成立槐荫区劳动人事争议调解中心，开展案前调解工作。截至2025年9月底，已累计受理案前调解案件300件，调解成功261件，39件进入立案，调解率87%，受到劳动者、用人单位和社会各界广泛认可。</w:t>
            </w:r>
          </w:p>
        </w:tc>
      </w:tr>
    </w:tbl>
    <w:p w:rsidR="003D6F47" w:rsidRDefault="003D6F47" w:rsidP="003D6F47">
      <w:pPr>
        <w:pStyle w:val="a3"/>
      </w:pPr>
    </w:p>
    <w:p w:rsidR="003E58C2" w:rsidRDefault="003E58C2"/>
    <w:sectPr w:rsidR="003E58C2" w:rsidSect="00A42F73">
      <w:headerReference w:type="default" r:id="rId4"/>
      <w:footerReference w:type="even" r:id="rId5"/>
      <w:footerReference w:type="default" r:id="rId6"/>
      <w:pgSz w:w="16838" w:h="11906" w:orient="landscape"/>
      <w:pgMar w:top="1417" w:right="1417" w:bottom="1417" w:left="1417"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文星黑体">
    <w:panose1 w:val="02010609000101010101"/>
    <w:charset w:val="86"/>
    <w:family w:val="auto"/>
    <w:pitch w:val="variable"/>
    <w:sig w:usb0="00000003" w:usb1="080E0000" w:usb2="00000010" w:usb3="00000000" w:csb0="00040001" w:csb1="00000000"/>
  </w:font>
  <w:font w:name="文星标宋">
    <w:panose1 w:val="02010609000101010101"/>
    <w:charset w:val="86"/>
    <w:family w:val="auto"/>
    <w:pitch w:val="variable"/>
    <w:sig w:usb0="00000003" w:usb1="080E0000" w:usb2="00000010" w:usb3="00000000" w:csb0="00040001" w:csb1="00000000"/>
  </w:font>
  <w:font w:name="文星仿宋">
    <w:panose1 w:val="02010609000101010101"/>
    <w:charset w:val="86"/>
    <w:family w:val="auto"/>
    <w:pitch w:val="variable"/>
    <w:sig w:usb0="00000003" w:usb1="080E0000" w:usb2="00000010"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F73" w:rsidRDefault="00863D13">
    <w:pPr>
      <w:pStyle w:val="a4"/>
      <w:ind w:left="570"/>
      <w:rPr>
        <w:rFonts w:ascii="宋体" w:hAnsi="宋体"/>
        <w:sz w:val="28"/>
        <w:szCs w:val="28"/>
      </w:rPr>
    </w:pPr>
    <w:r>
      <w:rPr>
        <w:rFonts w:ascii="宋体" w:hAnsi="宋体" w:hint="eastAsia"/>
        <w:sz w:val="28"/>
        <w:szCs w:val="28"/>
      </w:rPr>
      <w:t xml:space="preserve"> </w:t>
    </w:r>
    <w:r>
      <w:rPr>
        <w:rFonts w:ascii="宋体" w:hAnsi="宋体" w:hint="eastAsia"/>
        <w:sz w:val="28"/>
        <w:szCs w:val="28"/>
      </w:rPr>
      <w:fldChar w:fldCharType="begin"/>
    </w:r>
    <w:r>
      <w:rPr>
        <w:rFonts w:ascii="宋体" w:hAnsi="宋体" w:hint="eastAsia"/>
        <w:sz w:val="28"/>
        <w:szCs w:val="28"/>
      </w:rPr>
      <w:instrText>PAGE   \* MERGEFORMAT</w:instrText>
    </w:r>
    <w:r>
      <w:rPr>
        <w:rFonts w:ascii="宋体" w:hAnsi="宋体" w:hint="eastAsia"/>
        <w:sz w:val="28"/>
        <w:szCs w:val="28"/>
      </w:rPr>
      <w:fldChar w:fldCharType="separate"/>
    </w:r>
    <w:r>
      <w:rPr>
        <w:rFonts w:ascii="宋体" w:hAnsi="宋体"/>
        <w:sz w:val="28"/>
        <w:szCs w:val="28"/>
        <w:lang w:val="zh-CN"/>
      </w:rPr>
      <w:t>-</w:t>
    </w:r>
    <w:r>
      <w:rPr>
        <w:rFonts w:ascii="宋体" w:hAnsi="宋体"/>
        <w:sz w:val="28"/>
        <w:szCs w:val="28"/>
      </w:rPr>
      <w:t xml:space="preserve"> 2 -</w:t>
    </w:r>
    <w:r>
      <w:rPr>
        <w:rFonts w:ascii="宋体" w:hAnsi="宋体" w:hint="eastAsia"/>
        <w:sz w:val="28"/>
        <w:szCs w:val="28"/>
      </w:rPr>
      <w:fldChar w:fldCharType="end"/>
    </w:r>
    <w:r>
      <w:rPr>
        <w:rFonts w:ascii="宋体" w:hAnsi="宋体" w:hint="eastAsia"/>
        <w:sz w:val="28"/>
        <w:szCs w:val="28"/>
      </w:rPr>
      <w:t xml:space="preserve"> </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F73" w:rsidRDefault="00863D13">
    <w:pPr>
      <w:pStyle w:val="a4"/>
      <w:ind w:rightChars="100" w:right="210"/>
      <w:jc w:val="right"/>
      <w:rPr>
        <w:rFonts w:ascii="仿宋_GB2312" w:eastAsia="仿宋_GB2312"/>
        <w:sz w:val="28"/>
        <w:szCs w:val="28"/>
      </w:rPr>
    </w:pPr>
    <w:r w:rsidRPr="00A42F73">
      <w:rPr>
        <w:sz w:val="28"/>
      </w:rPr>
      <w:pict>
        <v:shapetype id="_x0000_t202" coordsize="21600,21600" o:spt="202" path="m,l,21600r21600,l21600,xe">
          <v:stroke joinstyle="miter"/>
          <v:path gradientshapeok="t" o:connecttype="rect"/>
        </v:shapetype>
        <v:shape id="_x0000_s2049" type="#_x0000_t202" style="position:absolute;left:0;text-align:left;margin-left:104pt;margin-top:0;width:2in;height:2in;z-index:251658240;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filled="f" stroked="f">
          <v:textbox style="mso-fit-shape-to-text:t" inset="0,0,0,0">
            <w:txbxContent>
              <w:p w:rsidR="00A42F73" w:rsidRDefault="00863D13">
                <w:pPr>
                  <w:pStyle w:val="a4"/>
                </w:pPr>
                <w:r>
                  <w:rPr>
                    <w:rFonts w:ascii="文星仿宋" w:eastAsia="文星仿宋" w:hAnsi="文星仿宋" w:cs="文星仿宋" w:hint="eastAsia"/>
                    <w:sz w:val="24"/>
                    <w:szCs w:val="24"/>
                  </w:rPr>
                  <w:t>—</w:t>
                </w:r>
                <w:r>
                  <w:rPr>
                    <w:rFonts w:ascii="文星仿宋" w:eastAsia="文星仿宋" w:hAnsi="文星仿宋" w:cs="文星仿宋" w:hint="eastAsia"/>
                    <w:sz w:val="24"/>
                    <w:szCs w:val="24"/>
                  </w:rPr>
                  <w:t xml:space="preserve"> </w:t>
                </w:r>
                <w:r>
                  <w:rPr>
                    <w:rFonts w:ascii="文星仿宋" w:eastAsia="文星仿宋" w:hAnsi="文星仿宋" w:cs="文星仿宋" w:hint="eastAsia"/>
                    <w:sz w:val="24"/>
                    <w:szCs w:val="24"/>
                  </w:rPr>
                  <w:fldChar w:fldCharType="begin"/>
                </w:r>
                <w:r>
                  <w:rPr>
                    <w:rFonts w:ascii="文星仿宋" w:eastAsia="文星仿宋" w:hAnsi="文星仿宋" w:cs="文星仿宋" w:hint="eastAsia"/>
                    <w:sz w:val="24"/>
                    <w:szCs w:val="24"/>
                  </w:rPr>
                  <w:instrText xml:space="preserve"> PAGE  \* MERGEFORMAT </w:instrText>
                </w:r>
                <w:r>
                  <w:rPr>
                    <w:rFonts w:ascii="文星仿宋" w:eastAsia="文星仿宋" w:hAnsi="文星仿宋" w:cs="文星仿宋" w:hint="eastAsia"/>
                    <w:sz w:val="24"/>
                    <w:szCs w:val="24"/>
                  </w:rPr>
                  <w:fldChar w:fldCharType="separate"/>
                </w:r>
                <w:r w:rsidR="003D6F47">
                  <w:rPr>
                    <w:rFonts w:ascii="文星仿宋" w:eastAsia="文星仿宋" w:hAnsi="文星仿宋" w:cs="文星仿宋"/>
                    <w:noProof/>
                    <w:sz w:val="24"/>
                    <w:szCs w:val="24"/>
                  </w:rPr>
                  <w:t>1</w:t>
                </w:r>
                <w:r>
                  <w:rPr>
                    <w:rFonts w:ascii="文星仿宋" w:eastAsia="文星仿宋" w:hAnsi="文星仿宋" w:cs="文星仿宋" w:hint="eastAsia"/>
                    <w:sz w:val="24"/>
                    <w:szCs w:val="24"/>
                  </w:rPr>
                  <w:fldChar w:fldCharType="end"/>
                </w:r>
                <w:r>
                  <w:rPr>
                    <w:rFonts w:ascii="文星仿宋" w:eastAsia="文星仿宋" w:hAnsi="文星仿宋" w:cs="文星仿宋" w:hint="eastAsia"/>
                    <w:sz w:val="24"/>
                    <w:szCs w:val="24"/>
                  </w:rPr>
                  <w:t xml:space="preserve"> </w:t>
                </w:r>
                <w:r>
                  <w:rPr>
                    <w:rFonts w:ascii="文星仿宋" w:eastAsia="文星仿宋" w:hAnsi="文星仿宋" w:cs="文星仿宋" w:hint="eastAsia"/>
                    <w:sz w:val="24"/>
                    <w:szCs w:val="24"/>
                  </w:rPr>
                  <w:t>—</w:t>
                </w:r>
              </w:p>
            </w:txbxContent>
          </v:textbox>
          <w10:wrap anchorx="margin"/>
        </v:shape>
      </w:pic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42F73" w:rsidRDefault="00863D13">
    <w:pPr>
      <w:pStyle w:val="a5"/>
      <w:pBdr>
        <w:bottom w:val="none" w:sz="0" w:space="0" w:color="auto"/>
      </w:pBdr>
    </w:pPr>
  </w:p>
  <w:p w:rsidR="00A42F73" w:rsidRDefault="00863D13"/>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3074"/>
    <o:shapelayout v:ext="edit">
      <o:idmap v:ext="edit" data="2"/>
    </o:shapelayout>
  </w:hdrShapeDefaults>
  <w:compat>
    <w:spaceForUL/>
    <w:balanceSingleByteDoubleByteWidth/>
    <w:doNotLeaveBackslashAlone/>
    <w:ulTrailSpace/>
    <w:doNotExpandShiftReturn/>
    <w:adjustLineHeightInTable/>
    <w:useFELayout/>
  </w:compat>
  <w:rsids>
    <w:rsidRoot w:val="003D6F47"/>
    <w:rsid w:val="003D6F47"/>
    <w:rsid w:val="003E58C2"/>
    <w:rsid w:val="00863D1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qFormat="1"/>
    <w:lsdException w:name="Table Grid" w:semiHidden="0" w:uiPriority="59" w:unhideWhenUsed="0" w:qFormat="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D6F4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autoRedefine/>
    <w:qFormat/>
    <w:rsid w:val="003D6F47"/>
    <w:rPr>
      <w:rFonts w:ascii="宋体" w:eastAsia="宋体" w:hAnsi="Courier New" w:cs="Courier New"/>
      <w:szCs w:val="21"/>
    </w:rPr>
  </w:style>
  <w:style w:type="character" w:customStyle="1" w:styleId="Char">
    <w:name w:val="纯文本 Char"/>
    <w:basedOn w:val="a0"/>
    <w:link w:val="a3"/>
    <w:qFormat/>
    <w:rsid w:val="003D6F47"/>
    <w:rPr>
      <w:rFonts w:ascii="宋体" w:eastAsia="宋体" w:hAnsi="Courier New" w:cs="Courier New"/>
      <w:szCs w:val="21"/>
    </w:rPr>
  </w:style>
  <w:style w:type="paragraph" w:styleId="a4">
    <w:name w:val="footer"/>
    <w:basedOn w:val="a"/>
    <w:link w:val="Char0"/>
    <w:autoRedefine/>
    <w:qFormat/>
    <w:rsid w:val="003D6F47"/>
    <w:pPr>
      <w:tabs>
        <w:tab w:val="center" w:pos="4153"/>
        <w:tab w:val="right" w:pos="8306"/>
      </w:tabs>
      <w:snapToGrid w:val="0"/>
      <w:jc w:val="left"/>
    </w:pPr>
    <w:rPr>
      <w:sz w:val="18"/>
      <w:szCs w:val="18"/>
    </w:rPr>
  </w:style>
  <w:style w:type="character" w:customStyle="1" w:styleId="Char0">
    <w:name w:val="页脚 Char"/>
    <w:basedOn w:val="a0"/>
    <w:link w:val="a4"/>
    <w:qFormat/>
    <w:rsid w:val="003D6F47"/>
    <w:rPr>
      <w:sz w:val="18"/>
      <w:szCs w:val="18"/>
    </w:rPr>
  </w:style>
  <w:style w:type="paragraph" w:styleId="a5">
    <w:name w:val="header"/>
    <w:basedOn w:val="a"/>
    <w:link w:val="Char1"/>
    <w:autoRedefine/>
    <w:qFormat/>
    <w:rsid w:val="003D6F47"/>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5"/>
    <w:qFormat/>
    <w:rsid w:val="003D6F47"/>
    <w:rPr>
      <w:sz w:val="18"/>
      <w:szCs w:val="18"/>
    </w:rPr>
  </w:style>
  <w:style w:type="table" w:styleId="a6">
    <w:name w:val="Table Grid"/>
    <w:basedOn w:val="a1"/>
    <w:autoRedefine/>
    <w:uiPriority w:val="59"/>
    <w:qFormat/>
    <w:rsid w:val="003D6F47"/>
    <w:pPr>
      <w:widowControl w:val="0"/>
      <w:jc w:val="both"/>
    </w:pPr>
    <w:rPr>
      <w:rFonts w:ascii="Times New Roman" w:eastAsia="宋体" w:hAnsi="Times New Roman" w:cs="Calibri"/>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8</Pages>
  <Words>762</Words>
  <Characters>4346</Characters>
  <Application>Microsoft Office Word</Application>
  <DocSecurity>0</DocSecurity>
  <Lines>36</Lines>
  <Paragraphs>10</Paragraphs>
  <ScaleCrop>false</ScaleCrop>
  <Company/>
  <LinksUpToDate>false</LinksUpToDate>
  <CharactersWithSpaces>5098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2025-11-20T03:26:00Z</dcterms:created>
  <dcterms:modified xsi:type="dcterms:W3CDTF">2025-11-20T03:27:00Z</dcterms:modified>
</cp:coreProperties>
</file>